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 P丸ゴシック体M" w:hAnsi="AR P丸ゴシック体M" w:eastAsia="AR P丸ゴシック体M"/>
          <w:sz w:val="22"/>
        </w:rPr>
      </w:pPr>
    </w:p>
    <w:p>
      <w:pPr>
        <w:pStyle w:val="0"/>
        <w:jc w:val="center"/>
        <w:rPr>
          <w:rFonts w:hint="eastAsia" w:ascii="AR P丸ゴシック体M" w:hAnsi="AR P丸ゴシック体M" w:eastAsia="AR P丸ゴシック体M"/>
          <w:sz w:val="40"/>
        </w:rPr>
      </w:pPr>
      <w:r>
        <w:rPr>
          <w:rFonts w:hint="eastAsia" w:ascii="AR P丸ゴシック体M" w:hAnsi="AR P丸ゴシック体M" w:eastAsia="AR P丸ゴシック体M"/>
          <w:sz w:val="40"/>
        </w:rPr>
        <w:t>農用地区域からの除外申請チェックリスト</w:t>
      </w:r>
    </w:p>
    <w:p>
      <w:pPr>
        <w:pStyle w:val="0"/>
        <w:rPr>
          <w:rFonts w:hint="eastAsia" w:ascii="AR P丸ゴシック体M" w:hAnsi="AR P丸ゴシック体M" w:eastAsia="AR P丸ゴシック体M"/>
        </w:rPr>
      </w:pPr>
      <w:r>
        <w:rPr>
          <w:rFonts w:hint="eastAsia" w:ascii="AR P丸ゴシック体M" w:hAnsi="AR P丸ゴシック体M" w:eastAsia="AR P丸ゴシック体M"/>
          <w:sz w:val="28"/>
        </w:rPr>
        <w:t>申請地番：</w:t>
      </w:r>
    </w:p>
    <w:tbl>
      <w:tblPr>
        <w:tblStyle w:val="17"/>
        <w:tblpPr w:leftFromText="142" w:rightFromText="142" w:topFromText="0" w:bottomFromText="0" w:vertAnchor="text" w:horzAnchor="text" w:tblpX="133" w:tblpY="48"/>
        <w:tblW w:w="9655" w:type="dxa"/>
        <w:tblLayout w:type="fixed"/>
        <w:tblLook w:firstRow="1" w:lastRow="0" w:firstColumn="1" w:lastColumn="0" w:noHBand="0" w:noVBand="1" w:val="04A0"/>
      </w:tblPr>
      <w:tblGrid>
        <w:gridCol w:w="840"/>
        <w:gridCol w:w="7555"/>
        <w:gridCol w:w="1260"/>
      </w:tblGrid>
      <w:tr>
        <w:trPr>
          <w:trHeight w:val="783" w:hRule="atLeast"/>
        </w:trPr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  <w:tc>
          <w:tcPr>
            <w:tcW w:w="755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確認項目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チェック欄</w:t>
            </w:r>
          </w:p>
        </w:tc>
      </w:tr>
      <w:tr>
        <w:trPr>
          <w:trHeight w:val="1125" w:hRule="atLeast"/>
        </w:trPr>
        <w:tc>
          <w:tcPr>
            <w:tcW w:w="84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農林業振興課</w:t>
            </w:r>
          </w:p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で確認</w:t>
            </w:r>
          </w:p>
        </w:tc>
        <w:tc>
          <w:tcPr>
            <w:tcW w:w="7555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土地改良事業の対象農地ではない。または対象農地であるが、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土地改良事業の完了から８年以上経過を確認している。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※８年未経過の農地は除外することはできません。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44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  <w:tr>
        <w:trPr>
          <w:trHeight w:val="1125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55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「中山間直接支払い事業」及び「多面的機能支払い事業」の対象農地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ではないことを確認している。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※対象農地の場合、返還金が発生します。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  <w:tr>
        <w:trPr>
          <w:trHeight w:val="1632" w:hRule="atLeast"/>
        </w:trPr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農業委員会で確認</w:t>
            </w:r>
          </w:p>
        </w:tc>
        <w:tc>
          <w:tcPr>
            <w:tcW w:w="7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農業委員会に農地区分の確認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申請地は（　　　　　）種農地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及び転用が可能であることの確認をしている。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※転用見込みがない場合、除外することはできません。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  <w:tr>
        <w:trPr>
          <w:trHeight w:val="1556" w:hRule="atLeast"/>
        </w:trPr>
        <w:tc>
          <w:tcPr>
            <w:tcW w:w="8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県ホームペ</w:t>
            </w:r>
          </w:p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ージで確認</w:t>
            </w:r>
          </w:p>
        </w:tc>
        <w:tc>
          <w:tcPr>
            <w:tcW w:w="75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徳島県策定の「農用地利用計画の変更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(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農用地区域からの除外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)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の判断基準」を満たすことを確認している。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(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徳島県ホームページで確認できます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※この基準を満たしていない場合、除外はできません。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  <w:tr>
        <w:trPr>
          <w:trHeight w:val="1316" w:hRule="atLeast"/>
        </w:trPr>
        <w:tc>
          <w:tcPr>
            <w:tcW w:w="8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除外土地比較検討表を作成している。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(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自己所有等の土地の場合：様式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1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、自己所有地以外の場合：様式２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※代替地がないことの確認のため、作成が必要です。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  <w:tr>
        <w:trPr>
          <w:trHeight w:val="490" w:hRule="atLeast"/>
        </w:trPr>
        <w:tc>
          <w:tcPr>
            <w:tcW w:w="965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b w:val="1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b w:val="1"/>
                <w:sz w:val="24"/>
              </w:rPr>
              <w:t>資材置場または駐車場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4"/>
              </w:rPr>
              <w:t>(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4"/>
              </w:rPr>
              <w:t>事業用か否かに関わらず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4"/>
              </w:rPr>
              <w:t>)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4"/>
              </w:rPr>
              <w:t>での除外申請の場合、</w:t>
            </w:r>
          </w:p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b w:val="1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b w:val="1"/>
                <w:sz w:val="24"/>
              </w:rPr>
              <w:t>下記項目を追加で確認してください。</w:t>
            </w:r>
          </w:p>
        </w:tc>
      </w:tr>
      <w:tr>
        <w:trPr>
          <w:trHeight w:val="812" w:hRule="atLeast"/>
        </w:trPr>
        <w:tc>
          <w:tcPr>
            <w:tcW w:w="839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農業委員会に提出する転用書類と同様のものを作成している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(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別紙参照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)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。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※事業計画書、事業所との位置関係等により、確実性及び必要性を確認します。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  <w:tr>
        <w:trPr>
          <w:trHeight w:val="1456" w:hRule="atLeast"/>
        </w:trPr>
        <w:tc>
          <w:tcPr>
            <w:tcW w:w="8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申請地で再生可能エネルギー発電事業計画（改正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FIT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法）の申請をしていない。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※目的外での除外・転用を防ぐため、申請地で認定を受けている場合、資材置場または駐車場での除外はできません。申請するためには、計画の取下げが必要となります。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44"/>
              </w:rPr>
              <w:t>□</w:t>
            </w:r>
          </w:p>
        </w:tc>
      </w:tr>
    </w:tbl>
    <w:p>
      <w:pPr>
        <w:pStyle w:val="0"/>
        <w:rPr>
          <w:rFonts w:hint="eastAsia" w:ascii="AR P丸ゴシック体M" w:hAnsi="AR P丸ゴシック体M" w:eastAsia="AR P丸ゴシック体M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2</Pages>
  <Words>1</Words>
  <Characters>545</Characters>
  <Application>JUST Note</Application>
  <Lines>52</Lines>
  <Paragraphs>33</Paragraphs>
  <Company>吉野川市</Company>
  <CharactersWithSpaces>550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00533:後藤 光了</dc:creator>
  <cp:lastModifiedBy>00672:森川 のぞみ</cp:lastModifiedBy>
  <dcterms:created xsi:type="dcterms:W3CDTF">2019-06-10T04:16:00Z</dcterms:created>
  <dcterms:modified xsi:type="dcterms:W3CDTF">2025-10-10T02:02:41Z</dcterms:modified>
  <cp:revision>11</cp:revision>
</cp:coreProperties>
</file>