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1130"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10"/>
        <w:gridCol w:w="3710"/>
        <w:gridCol w:w="3710"/>
      </w:tblGrid>
      <w:tr>
        <w:trPr>
          <w:trHeight w:val="340" w:hRule="atLeast"/>
        </w:trPr>
        <w:tc>
          <w:tcPr>
            <w:tcW w:w="385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sz w:val="18"/>
              </w:rPr>
              <w:t>認定権者記載欄</w:t>
            </w:r>
          </w:p>
        </w:tc>
      </w:tr>
      <w:tr>
        <w:trPr>
          <w:trHeight w:val="340" w:hRule="atLeast"/>
        </w:trPr>
        <w:tc>
          <w:tcPr>
            <w:tcW w:w="3855"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85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8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340" w:hRule="atLeast"/>
        </w:trPr>
        <w:tc>
          <w:tcPr>
            <w:tcW w:w="385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8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8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kinsoku w:val="0"/>
        <w:wordWrap w:val="0"/>
        <w:autoSpaceDE w:val="0"/>
        <w:autoSpaceDN w:val="0"/>
        <w:spacing w:line="366" w:lineRule="atLeast"/>
        <w:ind w:left="-3" w:leftChars="-299" w:hanging="625" w:hangingChars="347"/>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様式第５－（ロ）－③</w:t>
      </w:r>
    </w:p>
    <w:tbl>
      <w:tblPr>
        <w:tblStyle w:val="11"/>
        <w:tblW w:w="11130"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130"/>
      </w:tblGrid>
      <w:tr>
        <w:trPr>
          <w:trHeight w:val="9666" w:hRule="atLeast"/>
        </w:trPr>
        <w:tc>
          <w:tcPr>
            <w:tcW w:w="1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sz w:val="18"/>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中小企業信用保険法第２条第５項第５号の規定による認定申請書（ロ－③）</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sz w:val="18"/>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吉野川市長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sz w:val="18"/>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申請者</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xml:space="preserve">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u w:val="single" w:color="000000"/>
              </w:rPr>
              <w:t>住　所　　　　　　　　　　</w:t>
            </w:r>
            <w:r>
              <w:rPr>
                <w:rFonts w:hint="eastAsia"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p>
          <w:p>
            <w:pPr>
              <w:pStyle w:val="0"/>
              <w:suppressAutoHyphens w:val="1"/>
              <w:kinsoku w:val="0"/>
              <w:wordWrap w:val="0"/>
              <w:overflowPunct w:val="0"/>
              <w:autoSpaceDE w:val="0"/>
              <w:autoSpaceDN w:val="0"/>
              <w:adjustRightInd w:val="0"/>
              <w:spacing w:line="240" w:lineRule="exact"/>
              <w:ind w:rightChars="0" w:firstLine="7020" w:firstLineChars="39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u w:val="single" w:color="000000"/>
              </w:rPr>
              <w:t>氏　名　　　　　　　　　　　　　　　</w:t>
            </w:r>
            <w:r>
              <w:rPr>
                <w:rFonts w:hint="default" w:ascii="ＭＳ ゴシック" w:hAnsi="ＭＳ ゴシック" w:eastAsia="ＭＳ ゴシック"/>
                <w:color w:val="000000"/>
                <w:kern w:val="0"/>
                <w:sz w:val="18"/>
                <w:u w:val="single" w:color="000000"/>
              </w:rPr>
              <w:t xml:space="preserve"> </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sz w:val="18"/>
              </w:rPr>
            </w:pPr>
          </w:p>
          <w:p>
            <w:pPr>
              <w:pStyle w:val="39"/>
              <w:jc w:val="left"/>
              <w:rPr>
                <w:rFonts w:hint="default"/>
                <w:sz w:val="18"/>
              </w:rPr>
            </w:pPr>
            <w:r>
              <w:rPr>
                <w:rFonts w:hint="eastAsia"/>
                <w:sz w:val="18"/>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r>
              <w:rPr>
                <w:rFonts w:hint="eastAsia"/>
                <w:sz w:val="18"/>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85"/>
              <w:gridCol w:w="3685"/>
              <w:gridCol w:w="3685"/>
            </w:tblGrid>
            <w:tr>
              <w:trPr>
                <w:trHeight w:val="283" w:hRule="atLeast"/>
              </w:trPr>
              <w:tc>
                <w:tcPr>
                  <w:tcW w:w="3685"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sz w:val="18"/>
                    </w:rPr>
                  </w:pPr>
                </w:p>
              </w:tc>
              <w:tc>
                <w:tcPr>
                  <w:tcW w:w="368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p>
              </w:tc>
              <w:tc>
                <w:tcPr>
                  <w:tcW w:w="368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p>
              </w:tc>
            </w:tr>
            <w:tr>
              <w:trPr>
                <w:trHeight w:val="283" w:hRule="atLeast"/>
              </w:trPr>
              <w:tc>
                <w:tcPr>
                  <w:tcW w:w="3685"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p>
              </w:tc>
              <w:tc>
                <w:tcPr>
                  <w:tcW w:w="368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p>
              </w:tc>
              <w:tc>
                <w:tcPr>
                  <w:tcW w:w="368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8"/>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spacing w:val="16"/>
                <w:kern w:val="0"/>
                <w:sz w:val="18"/>
              </w:rPr>
              <w:t>※表には、指定業種であって、原油等の価格の上昇を製品等の価格に転嫁できていない事業が属する業種</w:t>
            </w:r>
            <w:r>
              <w:rPr>
                <w:rFonts w:hint="eastAsia" w:ascii="ＭＳ ゴシック" w:hAnsi="ＭＳ ゴシック" w:eastAsia="ＭＳ ゴシック"/>
                <w:color w:val="000000"/>
                <w:spacing w:val="16"/>
                <w:kern w:val="0"/>
                <w:sz w:val="18"/>
              </w:rPr>
              <w:t>(</w:t>
            </w:r>
            <w:r>
              <w:rPr>
                <w:rFonts w:hint="eastAsia" w:ascii="ＭＳ ゴシック" w:hAnsi="ＭＳ ゴシック" w:eastAsia="ＭＳ ゴシック"/>
                <w:color w:val="000000"/>
                <w:spacing w:val="16"/>
                <w:kern w:val="0"/>
                <w:sz w:val="18"/>
              </w:rPr>
              <w:t>日本標準　産業分類の細分類番号と細分類業種名</w:t>
            </w:r>
            <w:r>
              <w:rPr>
                <w:rFonts w:hint="eastAsia" w:ascii="ＭＳ ゴシック" w:hAnsi="ＭＳ ゴシック" w:eastAsia="ＭＳ ゴシック"/>
                <w:color w:val="000000"/>
                <w:spacing w:val="16"/>
                <w:kern w:val="0"/>
                <w:sz w:val="18"/>
              </w:rPr>
              <w:t>)</w:t>
            </w:r>
            <w:r>
              <w:rPr>
                <w:rFonts w:hint="eastAsia" w:ascii="ＭＳ ゴシック" w:hAnsi="ＭＳ ゴシック" w:eastAsia="ＭＳ ゴシック"/>
                <w:color w:val="000000"/>
                <w:spacing w:val="16"/>
                <w:kern w:val="0"/>
                <w:sz w:val="18"/>
              </w:rPr>
              <w:t>を記載。当該指定業種が複数ある場合には、その中で、最近１年間で最も　売上高等が大きい事業が属する指定業種を左上の太枠に記載。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①上記の表に記載した指定業種（以下同じ。）に係る原油等の仕入単価の上昇（注２）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Ｅ</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p>
          <w:p>
            <w:pPr>
              <w:pStyle w:val="0"/>
              <w:suppressAutoHyphens w:val="1"/>
              <w:kinsoku w:val="0"/>
              <w:wordWrap w:val="0"/>
              <w:overflowPunct w:val="0"/>
              <w:autoSpaceDE w:val="0"/>
              <w:autoSpaceDN w:val="0"/>
              <w:adjustRightInd w:val="0"/>
              <w:spacing w:before="0" w:beforeLines="0" w:beforeAutospacing="0" w:after="0" w:afterLines="0" w:afterAutospacing="0"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ｅ</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position w:val="10"/>
                <w:sz w:val="18"/>
              </w:rPr>
              <w:t>×</w:t>
            </w:r>
            <w:r>
              <w:rPr>
                <w:rFonts w:hint="default" w:ascii="ＭＳ ゴシック" w:hAnsi="ＭＳ ゴシック" w:eastAsia="ＭＳ ゴシック"/>
                <w:color w:val="000000"/>
                <w:kern w:val="0"/>
                <w:position w:val="10"/>
                <w:sz w:val="18"/>
              </w:rPr>
              <w:t>100</w:t>
            </w:r>
            <w:r>
              <w:rPr>
                <w:rFonts w:hint="eastAsia" w:ascii="ＭＳ ゴシック" w:hAnsi="ＭＳ ゴシック" w:eastAsia="ＭＳ ゴシック"/>
                <w:color w:val="000000"/>
                <w:kern w:val="0"/>
                <w:position w:val="10"/>
                <w:sz w:val="18"/>
              </w:rPr>
              <w:t>－</w:t>
            </w:r>
            <w:r>
              <w:rPr>
                <w:rFonts w:hint="default" w:ascii="ＭＳ ゴシック" w:hAnsi="ＭＳ ゴシック" w:eastAsia="ＭＳ ゴシック"/>
                <w:color w:val="000000"/>
                <w:kern w:val="0"/>
                <w:position w:val="10"/>
                <w:sz w:val="18"/>
              </w:rPr>
              <w:t>100</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rPr>
              <w:t xml:space="preserve">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Ｅ：指定業種に係る原油等の最近１か月間における平均仕入れ単価　　　　　　　　　　　　</w:t>
            </w:r>
            <w:r>
              <w:rPr>
                <w:rFonts w:hint="eastAsia" w:ascii="ＭＳ ゴシック" w:hAnsi="ＭＳ ゴシック" w:eastAsia="ＭＳ ゴシック"/>
                <w:color w:val="000000"/>
                <w:kern w:val="0"/>
                <w:sz w:val="18"/>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ｅ：指定業種に係るＥの期間に対応する前年１か月間の平均仕入れ単価</w:t>
            </w:r>
            <w:r>
              <w:rPr>
                <w:rFonts w:hint="eastAsia" w:ascii="ＭＳ ゴシック" w:hAnsi="ＭＳ ゴシック" w:eastAsia="ＭＳ ゴシック"/>
                <w:color w:val="000000"/>
                <w:spacing w:val="16"/>
                <w:kern w:val="0"/>
                <w:sz w:val="18"/>
              </w:rPr>
              <w:t>　　</w:t>
            </w:r>
            <w:r>
              <w:rPr>
                <w:rFonts w:hint="eastAsia" w:ascii="ＭＳ ゴシック" w:hAnsi="ＭＳ ゴシック" w:eastAsia="ＭＳ ゴシック"/>
                <w:color w:val="000000"/>
                <w:spacing w:val="16"/>
                <w:kern w:val="0"/>
                <w:sz w:val="18"/>
              </w:rPr>
              <w:t xml:space="preserve"> </w:t>
            </w:r>
            <w:r>
              <w:rPr>
                <w:rFonts w:hint="eastAsia" w:ascii="ＭＳ ゴシック" w:hAnsi="ＭＳ ゴシック" w:eastAsia="ＭＳ ゴシック"/>
                <w:color w:val="000000"/>
                <w:spacing w:val="16"/>
                <w:kern w:val="0"/>
                <w:sz w:val="18"/>
              </w:rPr>
              <w:t>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②全体の売上原価のうち指定業種に係る原油等の仕入価格が占める割合（注２）</w:t>
            </w:r>
          </w:p>
          <w:p>
            <w:pPr>
              <w:pStyle w:val="0"/>
              <w:suppressAutoHyphens w:val="1"/>
              <w:kinsoku w:val="0"/>
              <w:wordWrap w:val="0"/>
              <w:overflowPunct w:val="0"/>
              <w:autoSpaceDE w:val="0"/>
              <w:autoSpaceDN w:val="0"/>
              <w:adjustRightInd w:val="0"/>
              <w:spacing w:line="240" w:lineRule="exact"/>
              <w:ind w:firstLine="1080" w:firstLineChars="6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u w:val="single" w:color="000000"/>
              </w:rPr>
              <w:t>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Ｃ</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position w:val="10"/>
                <w:sz w:val="18"/>
              </w:rPr>
              <w:t>×</w:t>
            </w:r>
            <w:r>
              <w:rPr>
                <w:rFonts w:hint="default" w:ascii="ＭＳ ゴシック" w:hAnsi="ＭＳ ゴシック" w:eastAsia="ＭＳ ゴシック"/>
                <w:color w:val="000000"/>
                <w:kern w:val="0"/>
                <w:position w:val="10"/>
                <w:sz w:val="18"/>
              </w:rPr>
              <w:t>100</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u w:val="single" w:color="000000"/>
              </w:rPr>
              <w:t>依存率　　　　　</w:t>
            </w:r>
            <w:r>
              <w:rPr>
                <w:rFonts w:hint="eastAsia" w:ascii="ＭＳ ゴシック" w:hAnsi="ＭＳ ゴシック" w:eastAsia="ＭＳ ゴシック"/>
                <w:color w:val="000000"/>
                <w:kern w:val="0"/>
                <w:sz w:val="18"/>
                <w:u w:val="single" w:color="000000"/>
              </w:rPr>
              <w:t xml:space="preserve">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Ｃ：申込時点における最新の全体の売上原価</w:t>
            </w:r>
            <w:r>
              <w:rPr>
                <w:rFonts w:hint="eastAsia" w:ascii="ＭＳ ゴシック" w:hAnsi="ＭＳ ゴシック" w:eastAsia="ＭＳ ゴシック"/>
                <w:color w:val="000000"/>
                <w:spacing w:val="16"/>
                <w:kern w:val="0"/>
                <w:sz w:val="18"/>
              </w:rPr>
              <w:t>　　　　　　　　　　　　　　　　　　</w:t>
            </w:r>
            <w:r>
              <w:rPr>
                <w:rFonts w:hint="eastAsia" w:ascii="ＭＳ ゴシック" w:hAnsi="ＭＳ ゴシック" w:eastAsia="ＭＳ ゴシック"/>
                <w:color w:val="000000"/>
                <w:spacing w:val="16"/>
                <w:kern w:val="0"/>
                <w:sz w:val="18"/>
              </w:rPr>
              <w:t xml:space="preserve"> </w:t>
            </w:r>
            <w:r>
              <w:rPr>
                <w:rFonts w:hint="eastAsia" w:ascii="ＭＳ ゴシック" w:hAnsi="ＭＳ ゴシック" w:eastAsia="ＭＳ ゴシック"/>
                <w:color w:val="000000"/>
                <w:kern w:val="0"/>
                <w:sz w:val="18"/>
                <w:u w:val="single" w:color="000000"/>
              </w:rPr>
              <w:t>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r>
              <w:rPr>
                <w:rFonts w:hint="eastAsia"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Ｓ：Ｃの売上原価に対応する指定業種に係る原油等の仕入価格</w:t>
            </w:r>
            <w:r>
              <w:rPr>
                <w:rFonts w:hint="eastAsia" w:ascii="ＭＳ ゴシック" w:hAnsi="ＭＳ ゴシック" w:eastAsia="ＭＳ ゴシック"/>
                <w:color w:val="000000"/>
                <w:spacing w:val="16"/>
                <w:kern w:val="0"/>
                <w:sz w:val="18"/>
              </w:rPr>
              <w:t>　　　　</w:t>
            </w:r>
            <w:r>
              <w:rPr>
                <w:rFonts w:hint="eastAsia" w:ascii="ＭＳ ゴシック" w:hAnsi="ＭＳ ゴシック" w:eastAsia="ＭＳ ゴシック"/>
                <w:color w:val="000000"/>
                <w:spacing w:val="16"/>
                <w:kern w:val="0"/>
                <w:sz w:val="18"/>
              </w:rPr>
              <w:t xml:space="preserve"> </w:t>
            </w:r>
            <w:r>
              <w:rPr>
                <w:rFonts w:hint="eastAsia" w:ascii="ＭＳ ゴシック" w:hAnsi="ＭＳ ゴシック" w:eastAsia="ＭＳ ゴシック"/>
                <w:color w:val="000000"/>
                <w:spacing w:val="16"/>
                <w:kern w:val="0"/>
                <w:sz w:val="18"/>
              </w:rPr>
              <w:t>　　　　　　　</w:t>
            </w:r>
            <w:r>
              <w:rPr>
                <w:rFonts w:hint="eastAsia" w:ascii="ＭＳ ゴシック" w:hAnsi="ＭＳ ゴシック" w:eastAsia="ＭＳ ゴシック"/>
                <w:color w:val="000000"/>
                <w:kern w:val="0"/>
                <w:sz w:val="18"/>
                <w:u w:val="single" w:color="000000"/>
              </w:rPr>
              <w:t>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r>
              <w:rPr>
                <w:rFonts w:hint="eastAsia"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③－１　指定業種に係る製品等価格への転嫁の状況（注３）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Ａ１</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u w:val="single" w:color="000000"/>
              </w:rPr>
              <w:t xml:space="preserve">  </w:t>
            </w:r>
            <w:r>
              <w:rPr>
                <w:rFonts w:hint="default" w:ascii="ＭＳ ゴシック" w:hAnsi="ＭＳ ゴシック" w:eastAsia="ＭＳ ゴシック"/>
                <w:color w:val="000000"/>
                <w:kern w:val="0"/>
                <w:sz w:val="18"/>
              </w:rPr>
              <w:t xml:space="preserve">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ａ１</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Ｂ１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ｂ１</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position w:val="10"/>
                <w:sz w:val="18"/>
              </w:rPr>
              <w:t>＝Ｐ１</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rPr>
              <w:t xml:space="preserve">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Ｐ１＝</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Ａ１：申込時点における最近３か月間の指定業種に係る原油等の仕入価格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u w:val="single" w:color="000000"/>
              </w:rPr>
              <w:t>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ａ１：Ａ１の期間に対応する前年３か月間の指定業種に係る原油等の仕入価格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rPr>
              <w:t xml:space="preserve">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r>
              <w:rPr>
                <w:rFonts w:hint="eastAsia" w:ascii="ＭＳ ゴシック" w:hAnsi="ＭＳ ゴシック" w:eastAsia="ＭＳ ゴシック"/>
                <w:color w:val="000000"/>
                <w:kern w:val="0"/>
                <w:sz w:val="18"/>
                <w:u w:val="single" w:color="000000"/>
              </w:rPr>
              <w:t xml:space="preserve">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Ｂ１：申込時点における最近３か月間の指定業種に係る売上高</w:t>
            </w:r>
            <w:r>
              <w:rPr>
                <w:rFonts w:hint="eastAsia" w:ascii="ＭＳ ゴシック" w:hAnsi="ＭＳ ゴシック" w:eastAsia="ＭＳ ゴシック"/>
                <w:color w:val="000000"/>
                <w:spacing w:val="16"/>
                <w:kern w:val="0"/>
                <w:sz w:val="18"/>
              </w:rPr>
              <w:t>　　　　　　　　　　</w:t>
            </w:r>
            <w:r>
              <w:rPr>
                <w:rFonts w:hint="eastAsia" w:ascii="ＭＳ ゴシック" w:hAnsi="ＭＳ ゴシック" w:eastAsia="ＭＳ ゴシック"/>
                <w:color w:val="000000"/>
                <w:spacing w:val="16"/>
                <w:kern w:val="0"/>
                <w:sz w:val="18"/>
              </w:rPr>
              <w:t xml:space="preserve">   </w:t>
            </w:r>
            <w:r>
              <w:rPr>
                <w:rFonts w:hint="eastAsia" w:ascii="ＭＳ ゴシック" w:hAnsi="ＭＳ ゴシック" w:eastAsia="ＭＳ ゴシック"/>
                <w:color w:val="000000"/>
                <w:kern w:val="0"/>
                <w:sz w:val="18"/>
                <w:u w:val="single" w:color="000000"/>
              </w:rPr>
              <w:t>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color w:val="000000"/>
                <w:spacing w:val="16"/>
                <w:kern w:val="0"/>
                <w:sz w:val="18"/>
              </w:rPr>
            </w:pPr>
            <w:r>
              <w:rPr>
                <w:rFonts w:hint="eastAsia" w:ascii="ＭＳ ゴシック" w:hAnsi="ＭＳ ゴシック" w:eastAsia="ＭＳ ゴシック"/>
                <w:color w:val="000000"/>
                <w:kern w:val="0"/>
                <w:sz w:val="18"/>
              </w:rPr>
              <w:t>　　　　ｂ１：Ｂ１の期間に対応する前年３か月間の指定業種に係る売上高</w:t>
            </w:r>
            <w:r>
              <w:rPr>
                <w:rFonts w:hint="eastAsia" w:ascii="ＭＳ ゴシック" w:hAnsi="ＭＳ ゴシック" w:eastAsia="ＭＳ ゴシック"/>
                <w:color w:val="000000"/>
                <w:spacing w:val="16"/>
                <w:kern w:val="0"/>
                <w:sz w:val="18"/>
              </w:rPr>
              <w:t>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③－２　全体に係る製品等価格への転嫁の状況（注３）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Ａ１</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u w:val="single" w:color="000000"/>
              </w:rPr>
              <w:t xml:space="preserve">  </w:t>
            </w:r>
            <w:r>
              <w:rPr>
                <w:rFonts w:hint="default" w:ascii="ＭＳ ゴシック" w:hAnsi="ＭＳ ゴシック" w:eastAsia="ＭＳ ゴシック"/>
                <w:color w:val="000000"/>
                <w:kern w:val="0"/>
                <w:sz w:val="18"/>
              </w:rPr>
              <w:t xml:space="preserve">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ａ１</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Ｂ２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ｂ２</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position w:val="10"/>
                <w:sz w:val="18"/>
              </w:rPr>
              <w:t>＝Ｐ２</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Ｐ２＝</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Ａ１：申込時点における最近３か月間の指定業種に係る原油等の仕入価格　　　　　　　　　</w:t>
            </w:r>
            <w:r>
              <w:rPr>
                <w:rFonts w:hint="eastAsia" w:ascii="ＭＳ ゴシック" w:hAnsi="ＭＳ ゴシック" w:eastAsia="ＭＳ ゴシック"/>
                <w:color w:val="000000"/>
                <w:kern w:val="0"/>
                <w:sz w:val="18"/>
                <w:u w:val="single" w:color="000000"/>
              </w:rPr>
              <w:t>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ａ１：Ａ１の期間に対応する前年３か月間の指定業種に係る原油等の仕入価格　　　　　　　</w:t>
            </w:r>
            <w:r>
              <w:rPr>
                <w:rFonts w:hint="eastAsia" w:ascii="ＭＳ ゴシック" w:hAnsi="ＭＳ ゴシック" w:eastAsia="ＭＳ ゴシック"/>
                <w:color w:val="000000"/>
                <w:kern w:val="0"/>
                <w:sz w:val="18"/>
                <w:u w:val="single" w:color="000000"/>
              </w:rPr>
              <w:t>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Ｂ２：申込時点における最近３か月間の全体の売上高</w:t>
            </w:r>
            <w:r>
              <w:rPr>
                <w:rFonts w:hint="eastAsia" w:ascii="ＭＳ ゴシック" w:hAnsi="ＭＳ ゴシック" w:eastAsia="ＭＳ ゴシック"/>
                <w:color w:val="000000"/>
                <w:spacing w:val="16"/>
                <w:kern w:val="0"/>
                <w:sz w:val="18"/>
              </w:rPr>
              <w:t>　　　　　　　　　　　　　　</w:t>
            </w:r>
            <w:r>
              <w:rPr>
                <w:rFonts w:hint="eastAsia" w:ascii="ＭＳ ゴシック" w:hAnsi="ＭＳ ゴシック" w:eastAsia="ＭＳ ゴシック"/>
                <w:color w:val="000000"/>
                <w:spacing w:val="16"/>
                <w:kern w:val="0"/>
                <w:sz w:val="18"/>
              </w:rPr>
              <w:t xml:space="preserve">  </w:t>
            </w:r>
            <w:r>
              <w:rPr>
                <w:rFonts w:hint="eastAsia" w:ascii="ＭＳ ゴシック" w:hAnsi="ＭＳ ゴシック" w:eastAsia="ＭＳ ゴシック"/>
                <w:color w:val="000000"/>
                <w:kern w:val="0"/>
                <w:sz w:val="18"/>
                <w:u w:val="single" w:color="000000"/>
              </w:rPr>
              <w:t>　　　　</w:t>
            </w:r>
            <w:r>
              <w:rPr>
                <w:rFonts w:hint="eastAsia"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　　　　　</w:t>
            </w:r>
            <w:r>
              <w:rPr>
                <w:rFonts w:hint="eastAsia"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-635</wp:posOffset>
                      </wp:positionH>
                      <wp:positionV relativeFrom="paragraph">
                        <wp:posOffset>104775</wp:posOffset>
                      </wp:positionV>
                      <wp:extent cx="7033895" cy="2386330"/>
                      <wp:effectExtent l="0" t="0" r="635" b="635"/>
                      <wp:wrapNone/>
                      <wp:docPr id="1026" name="Text Box 3"/>
                      <a:graphic xmlns:a="http://schemas.openxmlformats.org/drawingml/2006/main">
                        <a:graphicData uri="http://schemas.microsoft.com/office/word/2010/wordprocessingShape">
                          <wps:wsp>
                            <wps:cNvPr id="1026" name="Text Box 3"/>
                            <wps:cNvSpPr txBox="1">
                              <a:spLocks noChangeArrowheads="1"/>
                            </wps:cNvSpPr>
                            <wps:spPr>
                              <a:xfrm>
                                <a:off x="0" y="0"/>
                                <a:ext cx="7033895" cy="2386330"/>
                              </a:xfrm>
                              <a:prstGeom prst="rect">
                                <a:avLst/>
                              </a:prstGeom>
                              <a:noFill/>
                              <a:ln>
                                <a:noFill/>
                              </a:ln>
                            </wps:spPr>
                            <wps:txbx>
                              <w:txbxContent>
                                <w:p>
                                  <w:pPr>
                                    <w:pStyle w:val="0"/>
                                    <w:suppressAutoHyphens w:val="1"/>
                                    <w:spacing w:line="280" w:lineRule="exact"/>
                                    <w:ind w:left="738" w:leftChars="0" w:right="-145" w:rightChars="-69" w:hanging="738" w:firstLineChars="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（注１）本様式は、指定業種に係る原油等の仕入価格の上昇等を指定業種及び企業全体の製品等の価格に転嫁できていないことによって認定基準を満たす場合に使用する。</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（注２）上昇率及び依存率が２０％以上となっていること。</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（注３）Ｐ１＞０、かつ、Ｐ２＞０となっていること。</w:t>
                                  </w:r>
                                </w:p>
                                <w:p>
                                  <w:pPr>
                                    <w:pStyle w:val="0"/>
                                    <w:suppressAutoHyphens w:val="1"/>
                                    <w:spacing w:line="28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spacing w:line="28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①本認定とは別に、金融機関及び信用保証協会による金融上の審査があります。</w:t>
                                  </w:r>
                                </w:p>
                                <w:p>
                                  <w:pPr>
                                    <w:pStyle w:val="0"/>
                                    <w:suppressAutoHyphens w:val="1"/>
                                    <w:kinsoku w:val="0"/>
                                    <w:autoSpaceDE w:val="0"/>
                                    <w:autoSpaceDN w:val="0"/>
                                    <w:spacing w:line="280" w:lineRule="exact"/>
                                    <w:ind w:left="478" w:leftChars="-70" w:right="-145" w:rightChars="-69" w:hanging="625" w:hangingChars="347"/>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②市町村長又は特別区長から認定を受けた後、本認定の有効期間内に金融機関又は信用保証協会に対して、経営安定関連保証の申込みを行うことが必要です。</w:t>
                                  </w:r>
                                </w:p>
                                <w:p>
                                  <w:pPr>
                                    <w:pStyle w:val="0"/>
                                    <w:suppressAutoHyphens w:val="1"/>
                                    <w:kinsoku w:val="0"/>
                                    <w:autoSpaceDE w:val="0"/>
                                    <w:autoSpaceDN w:val="0"/>
                                    <w:spacing w:line="280" w:lineRule="exact"/>
                                    <w:ind w:left="478" w:leftChars="-70" w:hanging="625" w:hangingChars="347"/>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第　　　号</w:t>
                                  </w:r>
                                </w:p>
                                <w:p>
                                  <w:pPr>
                                    <w:pStyle w:val="0"/>
                                    <w:suppressAutoHyphens w:val="1"/>
                                    <w:kinsoku w:val="0"/>
                                    <w:autoSpaceDE w:val="0"/>
                                    <w:autoSpaceDN w:val="0"/>
                                    <w:spacing w:line="280" w:lineRule="exact"/>
                                    <w:ind w:left="478" w:leftChars="-70" w:hanging="625" w:hangingChars="347"/>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令和　　年　　月　　日</w:t>
                                  </w:r>
                                </w:p>
                                <w:p>
                                  <w:pPr>
                                    <w:pStyle w:val="0"/>
                                    <w:suppressAutoHyphens w:val="1"/>
                                    <w:kinsoku w:val="0"/>
                                    <w:autoSpaceDE w:val="0"/>
                                    <w:autoSpaceDN w:val="0"/>
                                    <w:spacing w:line="280" w:lineRule="exact"/>
                                    <w:ind w:left="478" w:leftChars="-70" w:hanging="625" w:hangingChars="347"/>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申請のとおり、相違ないことを認定します。</w:t>
                                  </w:r>
                                </w:p>
                                <w:p>
                                  <w:pPr>
                                    <w:pStyle w:val="0"/>
                                    <w:suppressAutoHyphens w:val="1"/>
                                    <w:kinsoku w:val="0"/>
                                    <w:autoSpaceDE w:val="0"/>
                                    <w:autoSpaceDN w:val="0"/>
                                    <w:spacing w:line="280" w:lineRule="exact"/>
                                    <w:ind w:left="478" w:leftChars="-70" w:hanging="625" w:hangingChars="347"/>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認定者名　　吉野川市長　　原　井　　敬　　印</w:t>
                                  </w:r>
                                </w:p>
                                <w:p>
                                  <w:pPr>
                                    <w:pStyle w:val="0"/>
                                    <w:suppressAutoHyphens w:val="1"/>
                                    <w:kinsoku w:val="0"/>
                                    <w:autoSpaceDE w:val="0"/>
                                    <w:autoSpaceDN w:val="0"/>
                                    <w:spacing w:line="280" w:lineRule="exact"/>
                                    <w:ind w:left="589" w:leftChars="-70" w:hanging="736" w:hangingChars="347"/>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　</w:t>
                                  </w:r>
                                  <w:r>
                                    <w:rPr>
                                      <w:rFonts w:hint="default" w:ascii="ＭＳ ゴシック" w:hAnsi="ＭＳ ゴシック" w:eastAsia="ＭＳ ゴシック"/>
                                      <w:color w:val="000000"/>
                                      <w:kern w:val="0"/>
                                      <w:sz w:val="18"/>
                                    </w:rPr>
                                    <w:t>(</w:t>
                                  </w:r>
                                  <w:r>
                                    <w:rPr>
                                      <w:rFonts w:hint="eastAsia" w:ascii="ＭＳ ゴシック" w:hAnsi="ＭＳ ゴシック" w:eastAsia="ＭＳ ゴシック"/>
                                      <w:color w:val="000000"/>
                                      <w:kern w:val="0"/>
                                      <w:sz w:val="18"/>
                                    </w:rPr>
                                    <w:t>注</w:t>
                                  </w:r>
                                  <w:r>
                                    <w:rPr>
                                      <w:rFonts w:hint="default" w:ascii="ＭＳ ゴシック" w:hAnsi="ＭＳ ゴシック" w:eastAsia="ＭＳ ゴシック"/>
                                      <w:color w:val="000000"/>
                                      <w:kern w:val="0"/>
                                      <w:sz w:val="18"/>
                                    </w:rPr>
                                    <w:t>)</w:t>
                                  </w:r>
                                  <w:r>
                                    <w:rPr>
                                      <w:rFonts w:hint="eastAsia" w:ascii="ＭＳ ゴシック" w:hAnsi="ＭＳ ゴシック" w:eastAsia="ＭＳ ゴシック"/>
                                      <w:color w:val="000000"/>
                                      <w:kern w:val="0"/>
                                      <w:sz w:val="18"/>
                                    </w:rPr>
                                    <w:t>　　　　　　　　　　本認定書の有効期限：令和　　年　　月　　日</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から</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令和　　年　　月　　日</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まで</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8.25pt;mso-position-vertical-relative:text;mso-position-horizontal-relative:text;v-text-anchor:top;position:absolute;height:187.9pt;mso-wrap-distance-top:0pt;width:553.85pt;mso-wrap-distance-left:9pt;margin-left:-5.e-002pt;z-index:2;" o:spid="_x0000_s1026" o:allowincell="t" o:allowoverlap="t" filled="f" stroked="f" o:spt="202" type="#_x0000_t202">
                      <v:fill/>
                      <v:textbox style="layout-flow:horizontal;">
                        <w:txbxContent>
                          <w:p>
                            <w:pPr>
                              <w:pStyle w:val="0"/>
                              <w:suppressAutoHyphens w:val="1"/>
                              <w:spacing w:line="280" w:lineRule="exact"/>
                              <w:ind w:left="738" w:leftChars="0" w:right="-145" w:rightChars="-69" w:hanging="738" w:firstLineChars="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（注１）本様式は、指定業種に係る原油等の仕入価格の上昇等を指定業種及び企業全体の製品等の価格に転嫁できていないことによって認定基準を満たす場合に使用する。</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（注２）上昇率及び依存率が２０％以上となっていること。</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（注３）Ｐ１＞０、かつ、Ｐ２＞０となっていること。</w:t>
                            </w:r>
                          </w:p>
                          <w:p>
                            <w:pPr>
                              <w:pStyle w:val="0"/>
                              <w:suppressAutoHyphens w:val="1"/>
                              <w:spacing w:line="28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spacing w:line="28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①本認定とは別に、金融機関及び信用保証協会による金融上の審査があります。</w:t>
                            </w:r>
                          </w:p>
                          <w:p>
                            <w:pPr>
                              <w:pStyle w:val="0"/>
                              <w:suppressAutoHyphens w:val="1"/>
                              <w:kinsoku w:val="0"/>
                              <w:autoSpaceDE w:val="0"/>
                              <w:autoSpaceDN w:val="0"/>
                              <w:spacing w:line="280" w:lineRule="exact"/>
                              <w:ind w:left="478" w:leftChars="-70" w:right="-145" w:rightChars="-69" w:hanging="625" w:hangingChars="347"/>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②市町村長又は特別区長から認定を受けた後、本認定の有効期間内に金融機関又は信用保証協会に対して、経営安定関連保証の申込みを行うことが必要です。</w:t>
                            </w:r>
                          </w:p>
                          <w:p>
                            <w:pPr>
                              <w:pStyle w:val="0"/>
                              <w:suppressAutoHyphens w:val="1"/>
                              <w:kinsoku w:val="0"/>
                              <w:autoSpaceDE w:val="0"/>
                              <w:autoSpaceDN w:val="0"/>
                              <w:spacing w:line="280" w:lineRule="exact"/>
                              <w:ind w:left="478" w:leftChars="-70" w:hanging="625" w:hangingChars="347"/>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第　　　号</w:t>
                            </w:r>
                          </w:p>
                          <w:p>
                            <w:pPr>
                              <w:pStyle w:val="0"/>
                              <w:suppressAutoHyphens w:val="1"/>
                              <w:kinsoku w:val="0"/>
                              <w:autoSpaceDE w:val="0"/>
                              <w:autoSpaceDN w:val="0"/>
                              <w:spacing w:line="280" w:lineRule="exact"/>
                              <w:ind w:left="478" w:leftChars="-70" w:hanging="625" w:hangingChars="347"/>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令和　　年　　月　　日</w:t>
                            </w:r>
                          </w:p>
                          <w:p>
                            <w:pPr>
                              <w:pStyle w:val="0"/>
                              <w:suppressAutoHyphens w:val="1"/>
                              <w:kinsoku w:val="0"/>
                              <w:autoSpaceDE w:val="0"/>
                              <w:autoSpaceDN w:val="0"/>
                              <w:spacing w:line="280" w:lineRule="exact"/>
                              <w:ind w:left="478" w:leftChars="-70" w:hanging="625" w:hangingChars="347"/>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申請のとおり、相違ないことを認定します。</w:t>
                            </w:r>
                          </w:p>
                          <w:p>
                            <w:pPr>
                              <w:pStyle w:val="0"/>
                              <w:suppressAutoHyphens w:val="1"/>
                              <w:kinsoku w:val="0"/>
                              <w:autoSpaceDE w:val="0"/>
                              <w:autoSpaceDN w:val="0"/>
                              <w:spacing w:line="280" w:lineRule="exact"/>
                              <w:ind w:left="478" w:leftChars="-70" w:hanging="625" w:hangingChars="347"/>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認定者名　　吉野川市長　　原　井　　敬　　印</w:t>
                            </w:r>
                          </w:p>
                          <w:p>
                            <w:pPr>
                              <w:pStyle w:val="0"/>
                              <w:suppressAutoHyphens w:val="1"/>
                              <w:kinsoku w:val="0"/>
                              <w:autoSpaceDE w:val="0"/>
                              <w:autoSpaceDN w:val="0"/>
                              <w:spacing w:line="280" w:lineRule="exact"/>
                              <w:ind w:left="589" w:leftChars="-70" w:hanging="736" w:hangingChars="347"/>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　</w:t>
                            </w:r>
                            <w:r>
                              <w:rPr>
                                <w:rFonts w:hint="default" w:ascii="ＭＳ ゴシック" w:hAnsi="ＭＳ ゴシック" w:eastAsia="ＭＳ ゴシック"/>
                                <w:color w:val="000000"/>
                                <w:kern w:val="0"/>
                                <w:sz w:val="18"/>
                              </w:rPr>
                              <w:t>(</w:t>
                            </w:r>
                            <w:r>
                              <w:rPr>
                                <w:rFonts w:hint="eastAsia" w:ascii="ＭＳ ゴシック" w:hAnsi="ＭＳ ゴシック" w:eastAsia="ＭＳ ゴシック"/>
                                <w:color w:val="000000"/>
                                <w:kern w:val="0"/>
                                <w:sz w:val="18"/>
                              </w:rPr>
                              <w:t>注</w:t>
                            </w:r>
                            <w:r>
                              <w:rPr>
                                <w:rFonts w:hint="default" w:ascii="ＭＳ ゴシック" w:hAnsi="ＭＳ ゴシック" w:eastAsia="ＭＳ ゴシック"/>
                                <w:color w:val="000000"/>
                                <w:kern w:val="0"/>
                                <w:sz w:val="18"/>
                              </w:rPr>
                              <w:t>)</w:t>
                            </w:r>
                            <w:r>
                              <w:rPr>
                                <w:rFonts w:hint="eastAsia" w:ascii="ＭＳ ゴシック" w:hAnsi="ＭＳ ゴシック" w:eastAsia="ＭＳ ゴシック"/>
                                <w:color w:val="000000"/>
                                <w:kern w:val="0"/>
                                <w:sz w:val="18"/>
                              </w:rPr>
                              <w:t>　　　　　　　　　　本認定書の有効期限：令和　　年　　月　　日</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から</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令和　　年　　月　　日</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まで</w:t>
                            </w:r>
                          </w:p>
                        </w:txbxContent>
                      </v:textbox>
                      <v:imagedata o:title=""/>
                      <w10:wrap type="none" anchorx="text" anchory="text"/>
                    </v:shape>
                  </w:pict>
                </mc:Fallback>
              </mc:AlternateContent>
            </w:r>
            <w:r>
              <w:rPr>
                <w:rFonts w:hint="eastAsia" w:ascii="ＭＳ ゴシック" w:hAnsi="ＭＳ ゴシック" w:eastAsia="ＭＳ ゴシック"/>
                <w:color w:val="000000"/>
                <w:kern w:val="0"/>
                <w:sz w:val="18"/>
              </w:rPr>
              <w:t>　　　　ｂ２：Ｂ２の期間に対応</w:t>
            </w:r>
            <w:bookmarkStart w:id="0" w:name="_GoBack"/>
            <w:bookmarkEnd w:id="0"/>
            <w:r>
              <w:rPr>
                <w:rFonts w:hint="eastAsia" w:ascii="ＭＳ ゴシック" w:hAnsi="ＭＳ ゴシック" w:eastAsia="ＭＳ ゴシック"/>
                <w:color w:val="000000"/>
                <w:kern w:val="0"/>
                <w:sz w:val="18"/>
              </w:rPr>
              <w:t>する前年３か月間の全体の売上高</w:t>
            </w:r>
            <w:r>
              <w:rPr>
                <w:rFonts w:hint="default"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rPr>
              <w:t xml:space="preserve"> </w:t>
            </w:r>
            <w:r>
              <w:rPr>
                <w:rFonts w:hint="default" w:ascii="ＭＳ ゴシック" w:hAnsi="ＭＳ ゴシック" w:eastAsia="ＭＳ ゴシック"/>
                <w:color w:val="000000"/>
                <w:kern w:val="0"/>
                <w:sz w:val="18"/>
                <w:u w:val="single" w:color="000000"/>
              </w:rPr>
              <w:t xml:space="preserve">                     </w:t>
            </w:r>
            <w:r>
              <w:rPr>
                <w:rFonts w:hint="eastAsia" w:ascii="ＭＳ ゴシック" w:hAnsi="ＭＳ ゴシック" w:eastAsia="ＭＳ ゴシック"/>
                <w:color w:val="000000"/>
                <w:kern w:val="0"/>
                <w:sz w:val="18"/>
                <w:u w:val="single" w:color="000000"/>
              </w:rPr>
              <w:t>円</w:t>
            </w:r>
          </w:p>
        </w:tc>
      </w:tr>
    </w:tbl>
    <w:p>
      <w:pPr>
        <w:pStyle w:val="0"/>
        <w:suppressAutoHyphens w:val="1"/>
        <w:spacing w:line="320" w:lineRule="exact"/>
        <w:ind w:left="737" w:hanging="737"/>
        <w:jc w:val="right"/>
        <w:textAlignment w:val="baseline"/>
        <w:rPr>
          <w:rFonts w:hint="eastAsia"/>
        </w:rPr>
      </w:pPr>
      <w:r>
        <w:rPr>
          <w:rFonts w:hint="default" w:ascii="ＭＳ ゴシック" w:hAnsi="ＭＳ ゴシック" w:eastAsia="ＭＳ ゴシック"/>
          <w:color w:val="000000"/>
          <w:kern w:val="0"/>
          <w:sz w:val="24"/>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7"/>
                <a:graphic xmlns:a="http://schemas.openxmlformats.org/drawingml/2006/main">
                  <a:graphicData uri="http://schemas.microsoft.com/office/word/2010/wordprocessingShape">
                    <wps:wsp>
                      <wps:cNvPr id="1027" name="正方形/長方形 7"/>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3;"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sectPr>
      <w:pgSz w:w="11906" w:h="16838"/>
      <w:pgMar w:top="1134" w:right="680" w:bottom="1134" w:left="1020" w:header="851" w:footer="992" w:gutter="0"/>
      <w:cols w:space="720"/>
      <w:textDirection w:val="lrTb"/>
      <w:docGrid w:type="linesAndChar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Pages>
  <Words>3</Words>
  <Characters>1208</Characters>
  <Application>JUST Note</Application>
  <Lines>68</Lines>
  <Paragraphs>45</Paragraphs>
  <Company>経済産業省</Company>
  <CharactersWithSpaces>2110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商工観光課</cp:lastModifiedBy>
  <cp:lastPrinted>2024-06-24T00:37:35Z</cp:lastPrinted>
  <dcterms:created xsi:type="dcterms:W3CDTF">2023-01-12T08:16:00Z</dcterms:created>
  <dcterms:modified xsi:type="dcterms:W3CDTF">2024-06-24T04:01:59Z</dcterms:modified>
  <cp:revision>4</cp:revision>
</cp:coreProperties>
</file>