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6536" w:tblpY="-870"/>
        <w:tblOverlap w:val="never"/>
        <w:tblW w:w="3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2"/>
      </w:tblGrid>
      <w:tr>
        <w:trPr>
          <w:trHeight w:val="400" w:hRule="atLeast"/>
        </w:trPr>
        <w:tc>
          <w:tcPr>
            <w:tcW w:w="33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73" w:hRule="atLeast"/>
        </w:trPr>
        <w:tc>
          <w:tcPr>
            <w:tcW w:w="33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ind w:left="0" w:leftChars="-599" w:hanging="1258" w:hangingChars="599"/>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bookmarkStart w:id="0" w:name="_GoBack"/>
      <w:bookmarkEnd w:id="0"/>
    </w:p>
    <w:tbl>
      <w:tblPr>
        <w:tblStyle w:val="11"/>
        <w:tblW w:w="11160" w:type="dxa"/>
        <w:tblInd w:w="-1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60"/>
      </w:tblGrid>
      <w:tr>
        <w:trPr/>
        <w:tc>
          <w:tcPr>
            <w:tcW w:w="1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吉　野　川　市　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668" w:rightChars="318"/>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u w:val="none" w:color="auto"/>
              </w:rPr>
              <w:t>業</w:t>
            </w:r>
            <w:r>
              <w:rPr>
                <w:rFonts w:hint="eastAsia" w:ascii="ＭＳ ゴシック" w:hAnsi="ＭＳ ゴシック" w:eastAsia="ＭＳ ゴシック"/>
                <w:color w:val="000000"/>
                <w:kern w:val="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全体に係る上昇率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主たる業種に係る平均仕入単価　　　　円</w:t>
            </w:r>
          </w:p>
          <w:p>
            <w:pPr>
              <w:pStyle w:val="0"/>
              <w:suppressAutoHyphens w:val="1"/>
              <w:kinsoku w:val="0"/>
              <w:overflowPunct w:val="0"/>
              <w:autoSpaceDE w:val="0"/>
              <w:autoSpaceDN w:val="0"/>
              <w:adjustRightInd w:val="0"/>
              <w:spacing w:line="240" w:lineRule="exact"/>
              <w:ind w:firstLine="6171" w:firstLineChars="25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主たる業種に係る平均仕入単価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p>
            <w:pPr>
              <w:pStyle w:val="0"/>
              <w:suppressAutoHyphens w:val="1"/>
              <w:kinsoku w:val="0"/>
              <w:overflowPunct w:val="0"/>
              <w:autoSpaceDE w:val="0"/>
              <w:autoSpaceDN w:val="0"/>
              <w:adjustRightInd w:val="0"/>
              <w:spacing w:line="240" w:lineRule="exact"/>
              <w:ind w:firstLine="6171" w:firstLineChars="25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全体に係る平均仕入単価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②原油等が売上原価に占める割合（注３）</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主たる業種に係る依存率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position w:val="10"/>
              </w:rPr>
              <w:t>×</w:t>
            </w:r>
            <w:r>
              <w:rPr>
                <w:rFonts w:hint="default" w:ascii="ＭＳ ゴシック" w:hAnsi="ＭＳ ゴシック" w:eastAsia="ＭＳ ゴシック"/>
                <w:color w:val="000000"/>
                <w:kern w:val="0"/>
                <w:position w:val="10"/>
              </w:rPr>
              <w:t>100</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主たる業種に係る売上原価</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left="0" w:leftChars="0" w:right="0" w:rightChars="0" w:firstLine="0" w:firstLineChars="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主たる業種に係る仕入れ価格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全体に係る仕入れ価格</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③製品等価格への転嫁の状況（注４）</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主たる業種に係る転嫁の状況　Ｐ＝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position w:val="10"/>
              </w:rPr>
              <w:t>＝Ｐ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全体に係る仕入価格</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主たる業種に係る仕入価格</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全体に係る仕入価格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Ｂ：申込時点における最近３か月間の売上高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主たる業種に係る売上高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主たる業種に係る売上高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-38100</wp:posOffset>
                      </wp:positionH>
                      <wp:positionV relativeFrom="paragraph">
                        <wp:posOffset>73025</wp:posOffset>
                      </wp:positionV>
                      <wp:extent cx="7086600" cy="32289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086600" cy="32289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（注１）本様式は、主たる事業（最近１年間の売上高等が最も大きい事業）が属する業種（主たる業種）が指定業種である場合であっ</w:t>
                                  </w:r>
                                </w:p>
                                <w:p>
                                  <w:pPr>
                                    <w:pStyle w:val="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て、主たる業種及び申請者全体の双方が認定基準を満たす場合に使用する。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（注２）○○○には、主たる事業が属する指定業種（日本標準産業分類の細分類番号と細分類業種名）を記載。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（注３）主たる業種及び申請者全体の原油等の仕入単価、売上原価、原油等の仕入価格を記載。上昇率及び依存率が２０％以上となって</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いること。</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（注４）主たる業種及び申請者全体の原油等の仕入価格、売上高を記載。Ｐ＞０となっていること。</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（留意事項）</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①本認定とは別に、金融機関及び信用保証協会による金融上の審査があります。</w:t>
                                  </w:r>
                                </w:p>
                                <w:p>
                                  <w:pPr>
                                    <w:pStyle w:val="0"/>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②市町村長又は特別区長から認定を受けた後、本認定の有効期間内に金融機関又は信用保証協会に対して、経営安定関連保証の申込みを行うことが必要です。</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第　　　号</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令和　　年　　月　　日</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申請のとおり、相違ないことを認定します。</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認定者名　　吉野川市長　　原　井　　敬　　印</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（注）　　　　　　　　　本認定書の有効期限：令和　　年　　月　　日</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から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令和　　年　　月　　日</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まで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75pt;mso-position-vertical-relative:text;mso-position-horizontal-relative:text;position:absolute;height:254.25pt;mso-wrap-distance-top:0pt;width:558pt;mso-wrap-distance-left:5.65pt;margin-left:-3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（注１）本様式は、主たる事業（最近１年間の売上高等が最も大きい事業）が属する業種（主たる業種）が指定業種である場合であっ</w:t>
                            </w:r>
                          </w:p>
                          <w:p>
                            <w:pPr>
                              <w:pStyle w:val="0"/>
                              <w:ind w:firstLine="720" w:firstLineChars="400"/>
                              <w:rPr>
                                <w:rFonts w:hint="eastAsia" w:ascii="ＭＳ ゴシック" w:hAnsi="ＭＳ ゴシック" w:eastAsia="ＭＳ ゴシック"/>
                                <w:sz w:val="18"/>
                              </w:rPr>
                            </w:pPr>
                            <w:r>
                              <w:rPr>
                                <w:rFonts w:hint="eastAsia" w:ascii="ＭＳ ゴシック" w:hAnsi="ＭＳ ゴシック" w:eastAsia="ＭＳ ゴシック"/>
                                <w:sz w:val="18"/>
                              </w:rPr>
                              <w:t>て、主たる業種及び申請者全体の双方が認定基準を満たす場合に使用する。</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（注２）○○○には、主たる事業が属する指定業種（日本標準産業分類の細分類番号と細分類業種名）を記載。</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（注３）主たる業種及び申請者全体の原油等の仕入単価、売上原価、原油等の仕入価格を記載。上昇率及び依存率が２０％以上となって</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いること。</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（注４）主たる業種及び申請者全体の原油等の仕入価格、売上高を記載。Ｐ＞０となっていること。</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（留意事項）</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①本認定とは別に、金融機関及び信用保証協会による金融上の審査があります。</w:t>
                            </w:r>
                          </w:p>
                          <w:p>
                            <w:pPr>
                              <w:pStyle w:val="0"/>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②市町村長又は特別区長から認定を受けた後、本認定の有効期間内に金融機関又は信用保証協会に対して、経営安定関連保証の申込みを行うことが必要です。</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第　　　号</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令和　　年　　月　　日</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申請のとおり、相違ないことを認定します。</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認定者名　　吉野川市長　　原　井　　敬　　印</w:t>
                            </w:r>
                          </w:p>
                          <w:p>
                            <w:pPr>
                              <w:pStyle w:val="0"/>
                              <w:rPr>
                                <w:rFonts w:hint="eastAsia" w:ascii="ＭＳ ゴシック" w:hAnsi="ＭＳ ゴシック" w:eastAsia="ＭＳ ゴシック"/>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（注）　　　　　　　　　本認定書の有効期限：令和　　年　　月　　日</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から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令和　　年　　月　　日</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まで</w:t>
                            </w:r>
                          </w:p>
                        </w:txbxContent>
                      </v:textbox>
                      <v:imagedata o:title=""/>
                      <w10:wrap type="none" anchorx="text" anchory="text"/>
                    </v:shape>
                  </w:pict>
                </mc:Fallback>
              </mc:AlternateContent>
            </w:r>
          </w:p>
        </w:tc>
      </w:tr>
    </w:tbl>
    <w:p>
      <w:pPr>
        <w:pStyle w:val="0"/>
        <w:suppressAutoHyphens w:val="1"/>
        <w:spacing w:line="240" w:lineRule="exact"/>
        <w:ind w:left="-1260" w:leftChars="0" w:right="-1394" w:rightChars="-664" w:firstLine="0" w:firstLineChars="0"/>
        <w:jc w:val="left"/>
        <w:textAlignment w:val="baseline"/>
        <w:rPr>
          <w:rFonts w:hint="eastAsia"/>
          <w:sz w:val="20"/>
        </w:rPr>
      </w:pPr>
    </w:p>
    <w:sectPr>
      <w:pgSz w:w="11906" w:h="16838"/>
      <w:pgMar w:top="1985" w:right="1701" w:bottom="1701" w:left="1701"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1</Pages>
  <Words>3</Words>
  <Characters>1170</Characters>
  <Application>JUST Note</Application>
  <Lines>66</Lines>
  <Paragraphs>48</Paragraphs>
  <Company>経済産業省</Company>
  <CharactersWithSpaces>2119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商工観光課</cp:lastModifiedBy>
  <cp:lastPrinted>2013-09-17T13:51:00Z</cp:lastPrinted>
  <dcterms:created xsi:type="dcterms:W3CDTF">2023-01-12T08:16:00Z</dcterms:created>
  <dcterms:modified xsi:type="dcterms:W3CDTF">2024-06-24T02:53:43Z</dcterms:modified>
  <cp:revision>5</cp:revision>
</cp:coreProperties>
</file>